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3" w:rsidRPr="001376F3" w:rsidRDefault="001376F3" w:rsidP="001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PUBLICATIONS  Genomics </w:t>
      </w:r>
      <w:bookmarkStart w:id="0" w:name="_GoBack"/>
      <w:bookmarkEnd w:id="0"/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Time-Course Progression of Whole Transcriptome Expression Changes of Trigeminal Ganglia Compared to Dorsal Root Ganglia in Rats Exposed to Nerve Injury.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Korczeniewska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OA,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Khan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Eliav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Benoliel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R. J Pain. 2024 Jan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(1):101-117.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10.1016/j.jpain.2023.07.024.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2023 Jul 29. PMID: 37524222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A Novel Mitochondrial Mutation for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Lebers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Hereditary Optic Neuropathy Presenting With Vitamin B12 Deficiency.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Bekerman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VP, Berman E, You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Turbin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Frohman L.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Neuroophthalmol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2023 Dec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;43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(4):e136-e138.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10.1097/WNO.0000000000001391.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2021 Aug 17. PMID: 34417767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An expanded RT-PCR melting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temperature coding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assay to rapidly identify all known SARS-CoV-2 variants and sub-variants of concern.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Banada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PP, Green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Streck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Kurvathi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Reiss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Banik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Daivaa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Montalvan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I, Jones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Marras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SAE,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Chakravorty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Rep. 2023 Dec 11;13(1):21927.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10.1038/s41598-023-48647-8. PMID: 38081834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Cutting Edge: Neutrophils License the Maturation of Monocytes into Effective Antifungal Effectors.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Espinosa V, Dutta O, Heung LJ, Wang K, Chang YJ,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Siracusa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MC, Rivera A.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Immunol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2022 Nov 15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;209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(10):1827-1831.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10.4049/jimmunol.2200430.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2022 Oct 10. PMID: 36216513 Free PMC article.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Comprehensive Analysis of Disease Pathology in Immunocompetent and Immunocompromised Hosts following Pulmonary SARS-CoV-2 Infection.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Ramasamy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Kolloli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Kumar R,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Chang TL,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Subbian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S. Biomedicines. 2022 Jun 7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(6):1343.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10.3390/biomedicines10061343. PMID: 35740365 Free PMC article.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FISH Signal Pattern for an APL Variant Translocation with a PRKAR1A-RARA Fusion.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Liu K, You B, Duncan J, Root A, Zhang H.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Assoc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 Technol. 2022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;48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(4):176-177. PMID: 36469945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Wolf-Hirschhorn Syndrome with Hyperparathyroidism: A Case Report and a Narrative Review of the Literature.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Xia C, Kumar D, You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Streck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DL, Osborne L, Dermody J, Jiang JG, Pletcher BA.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2021 Jun 26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(4):312-317.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10.1055/s-0041-1729751.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2023 Dec. PMID: 38162156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A Simple Reverse Transcriptase PCR Melting-Temperature Assay To Rapidly Screen for Widely Circulating SARS-CoV-2 Variants.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Banada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Green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Banik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Chopoorian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Streck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Jones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Chakravorty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Clin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Microbiol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2021 Sep 20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;59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(10):e0084521.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10.1128/JCM.00845-21.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2021 Jul 21. PMID: 34288729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Biomechanical Forces Regulate Gene Transcription During Stretch-Mediated Growth of Mammalian Neurons.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Loverde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JR, Tolentino RE,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Pfister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BJ. Front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Neurosci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2020 Dec 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;14:600136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10.3389/fnins.2020.600136.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2020. PMID: 33408609 Free PMC article.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 S, De La Cruz J, Hutchens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Mukhopadhyay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Criss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ZK,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Aita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Pellon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-Cardenas O,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Hur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Carmeliet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Fleet JC,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Shroyer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MP, Christakos S. Analysis of 1,25-dihydroxyvitamin D3 genomic action reveals calcium regulating and calcium independent effects in mouse intestine and human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enteroids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Cell Biol. 2020 Nov 2:MCB.00372-20.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10.1128/MCB.00372-20. Online ahead of print. PMID: 33139494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Colangeli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Gupta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Vinhas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Chippada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Venkata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UD, Kim S, Grady C, Jones-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López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EC,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Palaci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Marques-Rodrigues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Salgame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Ellner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Dietze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(2020) Mycobacterium tuberculosis progresses through two phases of latent infection in humans. Nat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2020 Sep 25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(1):4870.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10.1038/s41467-020-18699-9.PMID: 32978384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Liu 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Badeti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Dotti G, Jiang JG, Wang H, Dermody J,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Streck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Birge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RB, Liu C. (2020) The Role of Immunological Synapse in Predicting the Efficacy of Chimeric Antigen Receptor (CAR) Immunotherapy. Cell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Signal. 2020 Aug 25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(1):134. Review.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10.1186/s12964-020-00617-7.PMID: 32843053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Safi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Lingaraju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Ma S,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Rustad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T, Sherman DR,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(2020) Rapidly Correcting Frameshift Mutations in the Mycobacterium tuberculosis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ornGene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Produce Reversible Ethambutol Resistance and Small-Colony-Variant Morphology.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Antimicrob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Agents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Chemother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2020 Aug 20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;64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(9):e00213-20.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10.1128/AAC.00213-20. Print 2020 Aug 20.PMID: 32571828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Inclan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-Rico JM, Hernandez CM, Henry EK,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Federman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Ponessa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Lemenze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AD, Joseph N,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Beaulieu AM, Yap GS,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Siracusa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MC. (2020)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Trichinella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spiralis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-induced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mastocytosis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and erythropoiesis are simultaneously supported by a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bipotent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mast cell/erythrocyte precursor cell.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Pathog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2020 May 18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;16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(5):e1008579.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10.1371/journal.ppat.1008579.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May.PMID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32421753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Korczeniewska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Katzmann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Rider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Gajra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Narra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Ramavajla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Chang YJ, Tao Y,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Husain S, Khan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Eliav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Benoliel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R. (2020) Differential gene expression changes in the dorsal root versus trigeminal ganglia following peripheral nerve injury in rats.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Pain. 2020 May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;24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(5):967-982.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10.1002/ejp.1546.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2020 Mar 13.PMID: 32100907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Wang X,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Inoyama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Russo R, Li SG,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Jadhav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Stratton TP, Mittal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Bilotta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JA, Singleton E, Kim T, Paget SD,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Pottorf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Ahn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YM, Davila-Pagan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Kandasamy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Grady C, Hussain S,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Zimmerman MD, Ho HP, Park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Dartois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Ekins S, Connell N, Kumar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Freundlich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JS. (2020)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Antitubercular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Triazines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Hit-to-Lead Optimization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Intrabacterial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Metabolism. Cell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Biol. 2020 Feb 20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;27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(2):172-185.e11.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10.1016/j.chembiol.2019.10.010.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2019 Nov 8. PMID: 31711854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Lewis ER,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Geisbüsch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Chang YJ, Costa V, Husain S,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Griepp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RB, Di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Luozzo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G. (2020)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Paraspinous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muscle gene expression profiling following simulated staged endovascular repair of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thoracoabdominal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aortic aneurysm: exploring potential therapeutic pathways.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Cardiothorac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Surg. 2020 Jan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;57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(1):30-38.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: 10.1093/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ejcts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/ezz113.PMID: 31006003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>Cytogenetic and molecular landscape and its potential clinical significance in Hispanic CMML patients from Puerto Rico.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Jiang Z, Sun X, Wu Z,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Alhatem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Zheng R, Liu D, Wang Y, Kumar D, Xia C, You B, Wang H, Liu C, Jiang JG.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Oncotarget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2020 Nov 24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(47):4411-4420.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10.18632/oncotarget.27824.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2020 Nov 24. PMID: 33315966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Cao C, Wang Y, Husain S, </w:t>
      </w:r>
      <w:proofErr w:type="spellStart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C. (2019)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mechanosensitive channel governs lipid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flippase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mediated drug resistance in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Crptococcus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neoformans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. 2019 Dec 10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e01952-19.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: 10.1128/mBio.01952-19.PMID:31822582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Ni H, Sun X, Xu Y, Lyle D, Petersen P, Zhao X, Drum H, You B, Liu D, Liu C, Jiang JG. Clinical implications of clonal chromosomal abnormalities in Philadelphia negative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cells in CML patients after treated with tyrosine kinase inhibitors. Cancer Genet. 2019 Jul 24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;238:44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-49.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10.1016/j.cancergen.2019.07.008. PMID: 31425925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Wang X,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Inoyama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Russo R, Li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Jadhav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Stratton T P, Mittal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Bilotta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A, Singleton E, Kim T, Paget S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Pottorf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 S, Davila-Pagan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Kandasamy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Grady C,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Zimmerman M D, Ho H P, Park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Dartois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Ekins S, Connell N, Kumar P,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Freundlich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Antitubercular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Triazines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Hit-to-Lead Optimization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Intrabacterial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Metabolism.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Cell Chemical Biology. Cell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Biol. 2019 Nov 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S2451-9456(19)30355-1.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10.1016/j.chembiol.2019.10.010. [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ahead of print] PMID: 31711854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Safi H, Gopal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Lingaraju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Ma S, Levine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Dartois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Yee M, Li L, Blanc L, Ho Liang HP,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Rustad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T, Sherman DR, Dick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 Phase variation in Mycobacterium tuberculosis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glpK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 produces transiently heritable drug tolerance. 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Natl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Acad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U S A. 2019 Sep 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10.1073/pnas.1907631116. [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ahead of print] PubMed PMID: 31488707.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Giotis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ES, Carnell G, Young EF,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Wang LF, Barclay WS, Skinner MA,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Temperton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N. Entry of the bat influenza H17N10 virus into mammalian cells is enabled by the MHC class II HLA-DR receptor. Nat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Microbiol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2019 Jul 29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10.1038/s41564-019-0517-3. [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ahead of print] PubMed PMID: 31358984.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Nakamura M, Liu T,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Zhai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Warren JS, Hsu CP, Matsuda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Phiel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CJ, Cox JE, Tian B, Li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Sadoshima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J. Glycogen Synthase Kinase-3α Promotes Fatty Acid Uptake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Lipotoxic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Cardiomyopathy. Cell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Metab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2019 May 7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(5):1119-1134.e12.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10.1016/j.cmet.2019.01.005.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2019 Feb 7.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Lowe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MM, Coetzee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Hoosien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Peirano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Strydom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KA, Ehlers MM,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Mbelle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Shashkina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Haslam DB,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Donnelly RJ, Chen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Kreiswirth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Pitout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JDD.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Klebsiella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ST307 with blaOXA-181, South Africa, 2014-2016.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Emerg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Infect Dis. 2019 Apr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(4):739-747.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10.3201/eid2504.181482. PubMed PMID: 30882333.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Lewis ER,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Geisbüsch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Chang YJ, Costa V,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Griepp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RB, Di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Luozzo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Paraspinous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muscle gene expression profiling following simulated staged endovascular repair of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thoracoabdominal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aortic aneurysm: exploring potential therapeutic pathways.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Cardiothorac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Surg. 2019 Apr 21.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ezz113.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10.1093/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ejcts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/ezz113. [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ahead of print].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Severinova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Alikunju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Deng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Sayed N, Sayed D. Glucocorticoid Receptor-Binding and Transcriptome Signature in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Cardiomyocytes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J Am Heart Assoc. 2019 Mar 19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(6): e011484.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10.1161/JAHA.118.011484. PubMed PMID: 30866692.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Kumar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Capodagli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Awasthi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Shrestha R, Maharaja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Sukheja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Li SG,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Inoyama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Zimmerman M, Ho Liang HP,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Sarathy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Mina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Rasic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Russo R, Perryman AL,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Richmann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T, Gupta A, Singleton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Wang Z, Morris R, Porter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Agnihotri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Salgame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Ekins S, Rhee KY, Connell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Dartois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Neiditch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Freundlich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Synergistic Lethality of a Binary Inhibitor of Mycobacterium tuberculosis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KasA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2018 Dec 18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e02101-17.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10.1128/mBio.02101-17.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Ogorodnikov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Levin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Tattikota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Tokalov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Scherzinger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Marini 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Poetsch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Binder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Macher-Göppinger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Probst HC, Tian B, Schaefer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Lackner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Westermann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Danckwardt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S. Transcriptome 3'end organization by PCF11 links alternative polyadenylation to formation and neuronal differentiation of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neuroblastoma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 Nat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 2018 Dec 14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(1):5331. 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10.1038/s41467-018-07580-5. PubMed PMID: 30552333; PubMed Central PMCID: PMC6294251.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Fomin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Richard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Li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Fissore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-O'Leary M,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Prives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C, Manley JL. The C9ORF72 Gene, Implicated in Amyotrophic Lateral Sclerosis and Frontotemporal Dementia, Encodes a Protein That Functions in Control of Endothelin and Glutamate Signaling. 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Cell Biol. 2018 Nov 15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;38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(22). 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10.1128/MCB.00155-18. Print 2018 Nov 15. PubMed PMID: 30150298; PubMed Central PMCID: PMC6206455.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Wei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Baiocchi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RA, Kim K-Y and Christakos S. PU.1 and Epigenetic Signals Modulate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Cathelicidin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Transcription Induced by C/EBPα and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,25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-Dihydroxyvitamin D3 in Lung Epithelial Cells. J Cell Physiol. Nov 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10.1002/jcp.27702. [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ahead of print] 2018.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Kurosaki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Maquat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LE. Identifying Cellular Nonsense-Mediated mRNA Decay (NMD) Targets: Immunoprecipitation of Phosphorylated UPF1 Followed by RNA Sequencing (p-UPF1 RIP-Seq). Methods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; 1720:175-186.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10.1007/978-1-4939-7540-2_13. PubMed PMID: 29236259. 2018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Roginski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RS, Lau CW,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Santoiemma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PP, Weaver SJ, Du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Yang J. The human GCOM1 complex gene interacts with the NMDA receptor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internexin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-alpha. Gene. Mar 30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;648:42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-53.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10.1016/j.gene.2018.01.029.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Jan 12. PubMed PMID: 29339073. 2018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Korczeniewska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OA, Husain S, Khan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Eliav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Benoliel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R. Differential gene expression in trigeminal ganglia of male and female rats following chronic constriction of the infraorbital nerve. 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 Pain. May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(5):875-888.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10.1002/ejp.1174.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2018 Jan 19. PubMed PMID: 29350446. 2018 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Yurko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N, Liu X, Yamazaki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Tian B, Manley JL. MPK1/SLT2 Links Multiple Stress Responses with Gene Expression in Budding Yeast by Phosphorylating Tyr1 of the RNAP II CTD.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Cell. Dec 7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;68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(5):913-925.e3.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10.1016/j.molcel.2017.11.020. PubMed PMID: 29220656; PubMed Central PMCID: PMC5736309.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Jyonouchi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Geng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Streck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DL, Dermody JJ,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Toruner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GA. MicroRNA expression changes in association with changes in interleukin-1ß/interleukin10 ratios produced by monocytes in autism spectrum disorders: their association with neuropsychiatric symptoms and comorbid conditions (observational study).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Neuroinflammation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2017 Nov 25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;14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(1):229.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10.1186/s12974-017-1003-6.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Yehia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Hsaio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C, Porta A, Kim KI, Patel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Lieben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Carmeliet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Christakos S. Transgenic Expression of the Vitamin D Receptor Restricted to the Ileum, Cecum, and Colon of Vitamin D Receptor Knockout Mice Rescues Vitamin D Receptor-Dependent Rickets. Endocrinology. Nov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;158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(11):3792-3804.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10.1210/en.2017-00258. PubMed PMID: 28938396; PubMed Central PMCID: PMC5695835.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Ngô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HM, Zhou Y,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Lorenzi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Wang K, Kim TK, Zhou Y, El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Bissati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Mui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Fraczek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Rajagopala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SV, Roberts CW, Henriquez FL,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Montpetit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Blackwell JM, Jamieson SE, Wheeler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Begeman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IJ, Naranjo-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Galvis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Alliey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-Rodriguez N, Davis RG,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Soroceanu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Cobbs C, Steindler DA, Boyer K, Noble AG, Swisher CN,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Heydemann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Rabiah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Withers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Hood L, McLeod R. Toxoplasma Modulates Signature Pathways of Human Epilepsy, Neurodegeneration &amp; Cancer. </w:t>
      </w:r>
      <w:proofErr w:type="spellStart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Rep. Sep 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;7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(1):11496.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10.1038/s41598-017-10675-6. PubMed PMID: 28904337; PubMed Central PMCID: PMC5597608.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Kurthkoti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Amin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Marakalala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Subbian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Sakatos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Livny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Fortune SM,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Berney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Rodriguez GM. The Capacity of Mycobacterium tuberculosis To Survive Iron Starvation Might Enable It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Persist in Iron-Deprived Microenvironments of Human Granulomas. 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. 8(4).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Patel N, Porta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Stefa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et al. Gene expression profiles of selective transcriptome responses in the intestine reveal novel 1,25(OH)2D3 targets and suggest an essential role for the vitamin D receptor in distal as well as proximal intestinal segments. Journal of bone and mineral research: the official journal of the American Society for Bone and Mineral Research; 32(Suppl. 1) S325.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Wei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Christakos S. New Developments in Our Understanding of the Regulation of Calcium Homeostasis by Vitamin D. Molecular, Genetic, and Nutritional Aspects of Major and Trace Minerals; :27-34.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Liu X, Freitas J, Zheng D, Oliveira MS,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Martins 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Henriques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T, Tian B, Moreira A. Transcription elongation rate has a tissue-specific impact on alternative cleavage and polyadenylation in Drosophila melanogaster. RNA. Dec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;23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(12):1807-1816.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10.1261/rna.062661.117.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2017 Aug 29. PubMed PMID: 28851752; PubMed Central PMCID: PMC5689002.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Liu X,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Larochelle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Lemay JF,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Yurko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N, Manley JL,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Bachand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F, Tian B. Comparative analysis of alternative polyadenylation in S. cerevisiae and 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pombe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Genome Res. Oct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;27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(10):1685-1695.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10.1101/gr.222331.117.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2017 Sep 15. PubMed PMID: 28916539; PubMed Central PMCID: PMC5630032.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 W,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Laishram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Ji Z, Tian B, Anderson RA. Distinct regulation of alternative polyadenylation and gene expression by nuclear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poly(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A) polymerases. Nucleic Acids Res. Sep 6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;45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(15):8930-8942.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10.1093/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/gkx560. PubMed PMID: 28911096; PubMed Central PMCID: PMC5587728.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Park JY, Chang YJ,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Luchessi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Cambiaghi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Shamanna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Hanauske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-Abel HM, Holland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Pe'ery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T, Tian B, Mathews MB. Regulation of gene expression by translation factor eIF5A: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Hypusine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-modified eIF5A enhances nonsense-mediated mRNA decay in human cells. Translation (Austin). Aug 14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(2):e1366294.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10.1080/21690731.2017.1366294.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2017. PubMed PMID: 29034140; PubMed Central PMCID: PMC5630042.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Ogami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Richard P, Chen Y,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Moresco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JJ, Yates JR 3rd, Tian B, Manley JL. An Mtr4/ZFC3H1 complex facilitates turnover of unstable nuclear RNAs to prevent their cytoplasmic transport and global translational repression. Genes Dev. Jun 15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;31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(12):1257-1271.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10.1101/gad.302604.117.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2017 Jul 21. PubMed PMID: 28733371; PubMed Central PMCID: PMC5558927. 2017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Sukheja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Kumar P, Mittal N, Li SG, Singleton E, Russo R, Perryman AL, Shrestha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Awasthi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D, Husain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Brukh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Connell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Freundlich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Alland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D. A novel small molecule inhibitor of the Mycobacterium tuberculosis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demethylmenaquinone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methyltransferase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is bactericidal to both growing and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nutritionally-deprived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persister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cells.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Feb 14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e02022-16.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10.1128/mBio.02022-16. 2017 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Wei R, Oz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Jeon YH, Christakos S. Vitamin D, calcium homeostasis and aging. Bone Res. 2016 Oct 18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;4:16041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. PubMed PMID: 27790378; PubMed Central PMCID: PMC5068478.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Wei R, Campbell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Lupicki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Christakos S. 25-Hydroxyvitamin D₃ 24-Hydroxylase: A Key Regulator of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,25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(OH)₂D₃ Catabolism and Calcium Homeostasis.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Vitam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Horm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2016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;100:137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-50.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10.1016/bs.vh.2015.10.005.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2016 Jan 2. PubMed PMID: 26827951.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Wei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Salgame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Bhatt K, Christakos S. Epigenetic Signals and Mycobacterium tuberculosis Infection Modulate 1,25(OH)2D3 Regulation of Innate Immune Responses in Lung Epithelial Cells. Journal of bone and mineral research: the official journal of the American Society for Bone and Mineral Research; 31(Suppl. 1).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Goswami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S Y, J 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Christakos S, et al. 1,25-Dihydroxyvitamin D3 or high dietary vitamin D Alleviates Inflammatory Bowel Phenotypes in a Genetic Mouse Model with a High Disease Susceptibility. Journal of bone and mineral research: the official journal of the American Society for Bone and Mineral Research.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(Suppl. 1).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Kim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Oz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Mady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et al. Evidence for a Key Role of Histone Methylation in the Control of the Biological Function of Vitamin D: Aberrant Regulation with Aging. Journal of bone and mineral research: the official journal of the American Society for Bone and Mineral Research; 31(Suppl. 1).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Christakos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Verstuyf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Carmeliet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G. Vitamin D: Metabolism, Molecular Mechanism of Action, and Pleiotropic Effects.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Physiol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Rev. Jan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;96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(1):365-408.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10.1152/physrev.00014.2015. PubMed PMID: 26681795; PubMed Central PMCID: PMC4839493.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Kimani SG, Kumar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Davra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Chang YJ,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Kasikara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Geng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Tsou WI, Wang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Boháč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Lewis-Antes A, De Lorenzo MS,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Kotenko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Birge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RB. Normalization of TAM post-receptor signaling reveals a cell invasive signature for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Axl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tyrosine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kinase.Cell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Signal. Sep 6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;14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(1):19.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10.1186/s12964-016-0142-1. PubMed PMID: 27595981; PubMed Central PMCID: PMC5011882.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Lemay JF,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Marguerat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Larochelle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Liu X, van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Nues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Hunyadkürti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Granneman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Bähler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Bachand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F. The Nrd1-like protein Seb1 coordinates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cotranscriptional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3' end processing and polyadenylation site selection. Genes Dev. Jul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;30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(13):1558-72.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10.1101/gad.280222.116. PubMed PMID: 27401558; PubMed Central PMCID: PMC4949328.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Devany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E, Park JY, Murphy MR,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Zakusilo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Baquero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Zhang X,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Kleiman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FE.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Intronic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cleavage and polyadenylation regulates gene expression during DNA damage response through U1 snRNA. Cell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Discov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>. Jun 14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;2:16013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10.1038/celldisc.2016.13.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2016. PubMed PMID: 27462460; PubMed Central PMCID: PMC4906801.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Yang Y,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Shen S,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Dynlacht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BD. Correction: PAF Complex Plays Novel Subunit-Specific Roles in Alternative Cleavage and Polyadenylation.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Feb 18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(2):e1005883.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10.1371/journal.pgen.1005883.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Feb. PubMed PMID: 26890028; PubMed Central PMCID: PMC4758808.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 W, Park JY, Zheng 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Yehia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Tian B. Alternative cleavage and polyadenylation in spermatogenesis connects chromatin regulation with post-transcriptional control. BMC Biol. Jan 22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;14:6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10.1186/s12915-016-0229-6. PubMed PMID: 26801249; PubMed Central PMCID: PMC4724118.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Y,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Shen S,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Dynlacht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BD. PAF Complex Plays Novel Subunit-Specific Roles in Alternative Cleavage and Polyadenylation.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Jan 14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(1):e1005794.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10.1371/journal.pgen.1005794.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2016 Jan. Erratum in: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Feb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(2):e1005883. PubMed PMID: 26765774; PubMed Central PMCID: PMC4713055.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Neve J, Burger K,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Patel R,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Gullerova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Furger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A. Subcellular RNA profiling links splicing and nuclear DICER1 to alternative cleavage and polyadenylation. Genome Res. Jan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;26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(1):24-35.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10.1101/gr.193995.115.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2015 Nov 6. PubMed PMID: 26546131; PubMed Central PMCID: PMC4691748.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Tasker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Subbian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Gao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Couret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Levine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Zhao X, Landau N, Lu W, Chang TL. IFN-</w:t>
      </w:r>
      <w:r w:rsidRPr="001376F3">
        <w:rPr>
          <w:rFonts w:ascii="Times New Roman" w:eastAsia="Times New Roman" w:hAnsi="Times New Roman" w:cs="Times New Roman"/>
          <w:sz w:val="24"/>
          <w:szCs w:val="24"/>
        </w:rPr>
        <w:sym w:font="Symbol" w:char="F065"/>
      </w: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protects primary macrophages against HIV infection. JCI Insight. Dec 8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(20):e88255. PubMed PMID: 27942584; PubMed Central PMCID: PMC5135270.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Henry EK,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Inclan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-Rico JM, Espinosa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Dwyer DF,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Rivera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Siracusa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MC. Carbonic anhydrase enzymes regulate mast cell-mediated inflammation.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Med. Aug 22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;213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(9):1663-73.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10.1084/jem.20151739.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2016 Aug 15. PubMed PMID: 27526715; PubMed Central PMCID: PMC4995079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Irene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Theis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JF, Gresham D,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 and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Newlon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CS. Hst3p, a histone deacetylase, promotes maintenance of Saccharomyces cerevisiae chromosome III lacking efficient replication origins.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 Genomics. Feb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;291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(1):271-83.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10.1007/s00438-015-1105-8.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2015 Aug 29. PubMed PMID: 26319649; PubMed Central PMCID: PMC4729790.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Wu S, Marie Lutz B, Miao X, Liang L, Mo K, Chang YJ, Du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Tian B, Kaufman AG,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Bekker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Hu Y, Tao YX. Dorsal root ganglion transcriptome analysis following peripheral nerve injury in mice.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Pain. Mar 11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;12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1744806916629048.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10.1177/1744806916629048. Print 2016. PubMed PMID: 27030721. 2016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Wei R, Sun C,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Gombart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Koeffler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HP, Diamond G, Christakos S. C/EBPα and the Vitamin D Receptor Cooperate in the Regulation of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Cathelicidin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in Lung Epithelial Cells. J Cell Physiol. Feb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;230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(2):464-72.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10.1002/jcp.24729. PubMed PMID: 25078430.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Veldurthy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Dhawan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Kim K,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Frenken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Mady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et al. Altered Calcium Homeostasis in the Klotho Mutant Mouse Does Not Reflect Changes in Calcium Homeostasis that Occur with Aging. Journal of bone and mineral research: the official journal of the American Society for Bone and Mineral Research.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(Suppl. 1).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Pandey R, Russo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Huang X,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Helmann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Rodriguez GM.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MntR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(Rv2788): a transcriptional regulator that controls manganese homeostasis in Mycobacterium tuberculosis.  Molecular microbiology. 98(6):1168-83. NIHMSID: NIHMS791305.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Soroceanu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Matlaf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Khan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Akhavan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Singer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Bezrookove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Decker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Hadaczek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Bengtsson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Ohlfest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Luciani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-Torres MG, Harkins L, Perry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Guo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Cobbs CS.  Cytomegalovirus Immediate-Early Proteins Promote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Stemness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Properties in Glioblastoma. Cancer research.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(15):3065-76. NIHMSID: NIHMS697797 PubMed [journal] PMID: 26239477 PMCID: PMC4526117.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Dai W, Li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Li Z,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Makeyev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EV. A post-transcriptional mechanism pacing expression of neural genes with 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precursor cell differentiation status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Nat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Jul 6; 6:7576.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10.1038/ncomms8576. PubMed PMID: 26144867; PubMed Central PMCID: PMC4506538.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Pfister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NT,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Fomin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Regunath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K, Zhou JY, Zhou W,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Silwal-Pandit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Freed-Pastor WA,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Laptenko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O, Neo SP,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Bargonetti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Gunaratne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Engebraaten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O, Manley JL,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Børresen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-Dale AL,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Neilsen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PM,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Prives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C. Mutant p53 cooperates with the SWI/SNF chromatin remodeling complex to regulate VEGFR2 in breast cancer cells. Genes Dev. Jun 15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;29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(12):1298-315.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10.1101/gad.263202.115.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2015 Jun 16. PubMed PMID: 26080815; PubMed Central PMCID: PMC4495400.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 W, You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Zheng D, Luo W, Ji Z, Park JY, Gunderson SI,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Kalsotra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Manley JL, Tian B. Systematic profiling of poly(A)+ transcripts modulated by core 3' end processing and splicing factors reveals regulatory rules of alternative cleavage and polyadenylation.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Apr 23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(4):e1005166.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10.1371/journal.pgen.1005166.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eCollection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2015 Apr. PubMed PMID: 25906188; PubMed Central PMCID: PMC4407891.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Geisberg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JV,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Moqtaderi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Z, Ji Z,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Tian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Struhl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K. Mapping 3' mRNA isoforms on a genomic scale.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Curr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Protoc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Biol. Apr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;110:4.23.1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-17.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10.1002/0471142727.mb0423s110. PubMed PMID: 25827089; PubMed Central PMCID: PMC4397975.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Soroceanu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Matlaf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Khan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Akhavan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Singer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Bezrookove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V, Decker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Ghanny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Hadaczek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Bengtsson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Ohlfest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Luciani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-Torres MG, Harkins L, Perry A,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Guo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and Cobbs CS. Cytomegalovirus Immediate-Early Proteins Promote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Stemness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Properties in Glioblastoma.  Cancer Res. Aug 1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;75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(15):3065-76.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10.1158/0008-5472.CAN-14-3307. PubMed PMID: 26239477; PubMed Central PMCID: PMC4526117.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Singer E,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Judkins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Salomonis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Matlaf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McAllister S,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Soroceanu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L. Reactive oxygen species-mediated therapeutic response and resistance in glioblastoma. Cell Death Dis. Jan 15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;6:e1601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10.1038/cddis.2014.566. PubMed PMID: 25590811; PubMed Central PMCID: PMC4669764. 2015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Subbian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S, Pandey R,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Soteropoulos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P, Rodriguez GM. Vaccination with an attenuated ferritin mutant protects mice against virulent Mycobacterium tuberculosis.  J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Immunol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Res. 2015:385402.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: 10.1155/2015/385402.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2015 Aug 3. PubMed PMID: 26339659; PubMed Central PMCID: PMC4539171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Li W, You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Zheng D, Luo W, Ji Z, Park JY, Gunderson SI,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Kalsotra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A, Manley JL, Tian B. Systematic profiling of poly(A)+ transcripts modulated by core 3' end processing and splicing factors reveals regulatory rules of alternative cleavage and polyadenylation.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2015 Apr 23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;11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(4):e1005166. PMID: 25906188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Luo W, Ji Z, Pan Z, You B,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Li W, Gunderson SI, Tian B. The conserved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intronic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cleavage and polyadenylation site of CstF-77 gene imparts control of 3' end processing activity through feedback autoregulation and by U1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snRNP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Genet. 2013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(7):e1003613. PMID: 23874216.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You B, Huang S, Qin Q, Yi B, Yuan Y, Xu Z, Sun J. Glyceraldehyde-3-phosphate dehydrogenase interacts with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proapoptotic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kinase mst1 to promote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cardiomyocyte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apoptosis.PLoS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One. 2013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;8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(3):e58697. PMID: 23527007</w:t>
      </w:r>
    </w:p>
    <w:p w:rsidR="001376F3" w:rsidRP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Hoque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M, Ji Z, Zheng D, Luo W, Li W, You B, Park JY,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Yehia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G, Tian B. Analysis of alternative cleavage and polyadenylation by 3' region extraction and deep sequencing. Nat Methods. 2013 Feb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;10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(2):133-9. PMID: 23241633</w:t>
      </w:r>
    </w:p>
    <w:p w:rsidR="001376F3" w:rsidRDefault="001376F3" w:rsidP="00137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lastRenderedPageBreak/>
        <w:t>Toruner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GA, Dermody J, </w:t>
      </w:r>
      <w:proofErr w:type="spellStart"/>
      <w:r w:rsidRPr="001376F3">
        <w:rPr>
          <w:rFonts w:ascii="Times New Roman" w:eastAsia="Times New Roman" w:hAnsi="Times New Roman" w:cs="Times New Roman"/>
          <w:sz w:val="24"/>
          <w:szCs w:val="24"/>
        </w:rPr>
        <w:t>Tolias</w:t>
      </w:r>
      <w:proofErr w:type="spell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 P.; Chromosomal microarrays: influential players in the diagnosis of developmental disorders. Per Med. 2012 Mar</w:t>
      </w:r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 xml:space="preserve">(2):167-169. </w:t>
      </w:r>
      <w:proofErr w:type="spellStart"/>
      <w:proofErr w:type="gramStart"/>
      <w:r w:rsidRPr="001376F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376F3">
        <w:rPr>
          <w:rFonts w:ascii="Times New Roman" w:eastAsia="Times New Roman" w:hAnsi="Times New Roman" w:cs="Times New Roman"/>
          <w:sz w:val="24"/>
          <w:szCs w:val="24"/>
        </w:rPr>
        <w:t>: 10.2217/pme.11.100.</w:t>
      </w:r>
    </w:p>
    <w:p w:rsidR="001376F3" w:rsidRPr="001376F3" w:rsidRDefault="001376F3" w:rsidP="001376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7DF5" w:rsidRDefault="001376F3"/>
    <w:sectPr w:rsidR="008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8A0"/>
    <w:multiLevelType w:val="multilevel"/>
    <w:tmpl w:val="585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42DC"/>
    <w:multiLevelType w:val="multilevel"/>
    <w:tmpl w:val="4EF4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3"/>
    <w:rsid w:val="000B5D34"/>
    <w:rsid w:val="001376F3"/>
    <w:rsid w:val="00B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3135"/>
  <w15:chartTrackingRefBased/>
  <w15:docId w15:val="{2FAB8814-A89A-4B2B-9075-B42A98CA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Streck, Deanna</dc:creator>
  <cp:keywords/>
  <dc:description/>
  <cp:lastModifiedBy>Streck, Deanna</cp:lastModifiedBy>
  <cp:revision>1</cp:revision>
  <dcterms:created xsi:type="dcterms:W3CDTF">2024-03-27T21:03:00Z</dcterms:created>
  <dcterms:modified xsi:type="dcterms:W3CDTF">2024-03-27T21:17:00Z</dcterms:modified>
</cp:coreProperties>
</file>